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Tytu"/>
        <w:rPr>
          <w:sz w:val="22"/>
          <w:szCs w:val="22"/>
        </w:rPr>
      </w:pPr>
      <w:r>
        <w:rPr>
          <w:sz w:val="22"/>
          <w:szCs w:val="22"/>
        </w:rPr>
        <w:t>UMOWA/wzór</w:t>
      </w:r>
    </w:p>
    <w:p>
      <w:pPr>
        <w:pStyle w:val="Ty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/>
      </w:pPr>
      <w:r>
        <w:rPr>
          <w:sz w:val="22"/>
          <w:szCs w:val="22"/>
        </w:rPr>
        <w:t xml:space="preserve">Zawarta w dniu …………... r.  w Busku Zdroju, pomiędzy: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Miejskim  Przedsiębiorstwem Gospodarki Komunalnej Sp. z o.o. , ul. Łagiewnicka 25,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28-100 Busko Zdrój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NIP:  655-193-50-66, KRS: 0000312603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zwanym dalej Zamawiającym reprezentowanym przez: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      mgr inż. Krzysztofa Kryczkę </w:t>
        <w:tab/>
        <w:t>-  Prezesa   Zarządu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……………………………………………KRS 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zwanym dalej Wykonawcą  reprezentowanym przez: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jc w:val="both"/>
        <w:rPr/>
      </w:pPr>
      <w:r>
        <w:rPr>
          <w:sz w:val="22"/>
          <w:szCs w:val="22"/>
        </w:rPr>
        <w:t xml:space="preserve">Niniejsza umowa jest następstwem wyboru przez Zamawiającego oferty Wykonawcy wyłonionego w postępowaniu o udzielenie zamówienia publicznego przeprowadzonego w trybie przetargu nieograniczonego pod nazwą "Sukcesywna dostawa komór grobowych żelbetonowych  wraz z ich wbudowaniem do wykopu przygotowanego przez Zamawiającego", </w:t>
      </w:r>
      <w:r>
        <w:rPr>
          <w:bCs/>
          <w:sz w:val="22"/>
          <w:szCs w:val="22"/>
        </w:rPr>
        <w:t>Numer postępowania: 9/ZU/20.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Zamawiający zleca, a Wykonawca przyjmuje do wykonania: 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Sukcesywną  dostawę komór grobowych żelbetonowych  wraz z ich wbudowaniem do wykopu przygotowanego przez Zamawiającego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ilości i asortymencie wyszczególnionym w formularzu ofertowym stanowiącym załącznik nr 1 do niniejszej umowy.</w:t>
      </w:r>
    </w:p>
    <w:p>
      <w:pPr>
        <w:pStyle w:val="Normal"/>
        <w:widowControl/>
        <w:numPr>
          <w:ilvl w:val="0"/>
          <w:numId w:val="5"/>
        </w:numPr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Szczegółowy opis zamówienia: 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   </w:t>
      </w:r>
      <w:r>
        <w:rPr>
          <w:color w:val="00000A"/>
          <w:sz w:val="22"/>
          <w:szCs w:val="22"/>
        </w:rPr>
        <w:t>a)  komory powinny być wodoszczelne;</w:t>
      </w:r>
    </w:p>
    <w:p>
      <w:pPr>
        <w:pStyle w:val="Tytu"/>
        <w:ind w:left="36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</w:t>
      </w:r>
      <w:r>
        <w:rPr>
          <w:b w:val="false"/>
          <w:bCs w:val="false"/>
          <w:color w:val="00000A"/>
          <w:sz w:val="22"/>
          <w:szCs w:val="22"/>
        </w:rPr>
        <w:t xml:space="preserve">b)  komory powinny być wykonane z betonu B25 W-8 i zbrojone siatką zgrzewaną z </w:t>
      </w:r>
    </w:p>
    <w:p>
      <w:pPr>
        <w:pStyle w:val="Tytu"/>
        <w:ind w:left="36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</w:t>
      </w:r>
      <w:r>
        <w:rPr>
          <w:b w:val="false"/>
          <w:bCs w:val="false"/>
          <w:color w:val="00000A"/>
          <w:sz w:val="22"/>
          <w:szCs w:val="22"/>
        </w:rPr>
        <w:t xml:space="preserve">pręta fi 5 mm, ze stali 18 G2 (żebro), o oczkach nie większych niż 10 cm;   </w:t>
      </w:r>
    </w:p>
    <w:p>
      <w:pPr>
        <w:pStyle w:val="Tytu"/>
        <w:ind w:left="36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CE181E"/>
          <w:sz w:val="22"/>
          <w:szCs w:val="22"/>
        </w:rPr>
        <w:t xml:space="preserve">   </w:t>
      </w:r>
      <w:r>
        <w:rPr>
          <w:b w:val="false"/>
          <w:bCs w:val="false"/>
          <w:color w:val="00000A"/>
          <w:sz w:val="22"/>
          <w:szCs w:val="22"/>
        </w:rPr>
        <w:t xml:space="preserve">   </w:t>
      </w:r>
      <w:r>
        <w:rPr>
          <w:b w:val="false"/>
          <w:bCs w:val="false"/>
          <w:color w:val="00000A"/>
          <w:sz w:val="22"/>
          <w:szCs w:val="22"/>
        </w:rPr>
        <w:t xml:space="preserve">c)   grubość elementów żelbetowych min. 7 cm; </w:t>
      </w:r>
    </w:p>
    <w:p>
      <w:pPr>
        <w:pStyle w:val="Tytu"/>
        <w:ind w:left="36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</w:t>
      </w:r>
      <w:r>
        <w:rPr>
          <w:b w:val="false"/>
          <w:bCs w:val="false"/>
          <w:color w:val="00000A"/>
          <w:sz w:val="22"/>
          <w:szCs w:val="22"/>
        </w:rPr>
        <w:t>d)   k</w:t>
      </w:r>
      <w:r>
        <w:rPr>
          <w:b w:val="false"/>
          <w:color w:val="00000A"/>
          <w:sz w:val="22"/>
          <w:szCs w:val="22"/>
        </w:rPr>
        <w:t>omora grobowa pojedyncza</w:t>
      </w:r>
      <w:r>
        <w:rPr>
          <w:b w:val="false"/>
          <w:bCs w:val="false"/>
          <w:color w:val="00000A"/>
          <w:sz w:val="22"/>
          <w:szCs w:val="22"/>
        </w:rPr>
        <w:t xml:space="preserve"> składa się z jednego elementu podstawowego:</w:t>
      </w:r>
    </w:p>
    <w:p>
      <w:pPr>
        <w:pStyle w:val="Tytu"/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komory monolitycznej przykrytej 5 szt. płyt wierzchnich; </w:t>
      </w:r>
    </w:p>
    <w:p>
      <w:pPr>
        <w:pStyle w:val="Ty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      </w:t>
      </w:r>
      <w:r>
        <w:rPr>
          <w:b w:val="false"/>
          <w:bCs w:val="false"/>
          <w:color w:val="00000A"/>
          <w:sz w:val="22"/>
          <w:szCs w:val="22"/>
        </w:rPr>
        <w:t>e)   k</w:t>
      </w:r>
      <w:r>
        <w:rPr>
          <w:b w:val="false"/>
          <w:color w:val="00000A"/>
          <w:sz w:val="22"/>
          <w:szCs w:val="22"/>
        </w:rPr>
        <w:t xml:space="preserve">omora grobowa podwójna (piętrowa) </w:t>
      </w:r>
      <w:r>
        <w:rPr>
          <w:b w:val="false"/>
          <w:bCs w:val="false"/>
          <w:color w:val="00000A"/>
          <w:sz w:val="22"/>
          <w:szCs w:val="22"/>
        </w:rPr>
        <w:t>składa się z jednego elementu podstawowego:</w:t>
      </w:r>
    </w:p>
    <w:p>
      <w:pPr>
        <w:pStyle w:val="Ty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      </w:t>
      </w:r>
      <w:r>
        <w:rPr>
          <w:b w:val="false"/>
          <w:bCs w:val="false"/>
          <w:color w:val="00000A"/>
          <w:sz w:val="22"/>
          <w:szCs w:val="22"/>
        </w:rPr>
        <w:t xml:space="preserve">komory monolitycznej przykrytej: część dolna  5 szt. płyt, zbrojonych opartych  </w:t>
      </w:r>
    </w:p>
    <w:p>
      <w:pPr>
        <w:pStyle w:val="Ty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      </w:t>
      </w:r>
      <w:r>
        <w:rPr>
          <w:b w:val="false"/>
          <w:bCs w:val="false"/>
          <w:color w:val="00000A"/>
          <w:sz w:val="22"/>
          <w:szCs w:val="22"/>
        </w:rPr>
        <w:t xml:space="preserve">na kątowniku przymocowanym śrubami do ścian komory; górna część 5 szt. płyt </w:t>
      </w:r>
    </w:p>
    <w:p>
      <w:pPr>
        <w:pStyle w:val="Tytu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  <w:t xml:space="preserve">            </w:t>
      </w:r>
      <w:r>
        <w:rPr>
          <w:b w:val="false"/>
          <w:bCs w:val="false"/>
          <w:color w:val="00000A"/>
          <w:sz w:val="22"/>
          <w:szCs w:val="22"/>
        </w:rPr>
        <w:t>zbrojonych wierzchnich.</w:t>
      </w:r>
    </w:p>
    <w:p>
      <w:pPr>
        <w:pStyle w:val="Tytu"/>
        <w:numPr>
          <w:ilvl w:val="0"/>
          <w:numId w:val="5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auto"/>
          <w:sz w:val="22"/>
          <w:szCs w:val="22"/>
        </w:rPr>
        <w:t>Ściany i dno komory pokryte powinny być od strony zewnętrznej warstwą izolacyjną nieprzepuszczającą wilgoci.</w:t>
      </w:r>
    </w:p>
    <w:p>
      <w:pPr>
        <w:pStyle w:val="BodyText2"/>
        <w:widowControl/>
        <w:numPr>
          <w:ilvl w:val="0"/>
          <w:numId w:val="5"/>
        </w:numPr>
        <w:spacing w:lineRule="auto" w:line="240" w:before="0" w:after="0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W cenę komór należy wliczyć: wykonanie, ich transport oraz montaż na   </w:t>
      </w:r>
    </w:p>
    <w:p>
      <w:pPr>
        <w:pStyle w:val="BodyText2"/>
        <w:spacing w:lineRule="auto" w:line="240" w:before="0" w:after="0"/>
        <w:ind w:left="360" w:hanging="0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   </w:t>
      </w:r>
      <w:r>
        <w:rPr>
          <w:color w:val="00000A"/>
          <w:sz w:val="22"/>
          <w:szCs w:val="22"/>
        </w:rPr>
        <w:t>terenie cmentarza w wykopie przygotowanym przez zamawiającego.</w:t>
      </w:r>
    </w:p>
    <w:p>
      <w:pPr>
        <w:pStyle w:val="Normal"/>
        <w:widowControl/>
        <w:numPr>
          <w:ilvl w:val="0"/>
          <w:numId w:val="5"/>
        </w:numPr>
        <w:rPr>
          <w:sz w:val="22"/>
          <w:szCs w:val="22"/>
        </w:rPr>
      </w:pPr>
      <w:r>
        <w:rPr>
          <w:color w:val="00000A"/>
          <w:sz w:val="22"/>
          <w:szCs w:val="22"/>
        </w:rPr>
        <w:t>Miejsce realizacji zamówienia cmentarz komunalny w Busku-Zdroju.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spacing w:lineRule="auto" w:line="240" w:before="0" w:after="0"/>
        <w:rPr/>
      </w:pPr>
      <w:r>
        <w:rPr>
          <w:sz w:val="22"/>
          <w:szCs w:val="22"/>
        </w:rPr>
        <w:t>1. Dostawa komór grobowych odbywać się będzie na podstawie  zgłoszenia zamawiającego (telefonicznie lub fax-em lub drogą e-mail). Termin i ilość dostaw częściowych będą każdorazowo określane przez Zamawiającego z  7 dniowym wyprzedzeniem.</w:t>
      </w:r>
    </w:p>
    <w:p>
      <w:pPr>
        <w:pStyle w:val="Tretekstu"/>
        <w:rPr/>
      </w:pPr>
      <w:r>
        <w:rPr>
          <w:sz w:val="22"/>
          <w:szCs w:val="22"/>
        </w:rPr>
        <w:t xml:space="preserve">2. Termin wykonania zamówienia </w:t>
      </w:r>
      <w:r>
        <w:rPr>
          <w:color w:val="auto"/>
          <w:sz w:val="22"/>
          <w:szCs w:val="22"/>
        </w:rPr>
        <w:t>od dnia 01.02.2021 r. do 30.10.2022 r.</w:t>
      </w:r>
    </w:p>
    <w:p>
      <w:pPr>
        <w:pStyle w:val="Tretekstu"/>
        <w:rPr/>
      </w:pPr>
      <w:r>
        <w:rPr>
          <w:sz w:val="22"/>
          <w:szCs w:val="22"/>
        </w:rPr>
        <w:t>3. Montaż komór grobowych odbywać się będzie w okresie od kwietnia  do października w roku 2021 oraz 2022.</w:t>
      </w:r>
    </w:p>
    <w:p>
      <w:pPr>
        <w:pStyle w:val="Normal"/>
        <w:jc w:val="both"/>
        <w:rPr/>
      </w:pPr>
      <w:r>
        <w:rPr>
          <w:color w:val="00000A"/>
          <w:sz w:val="22"/>
          <w:szCs w:val="22"/>
        </w:rPr>
        <w:t>4</w:t>
      </w:r>
      <w:r>
        <w:rPr>
          <w:sz w:val="22"/>
          <w:szCs w:val="22"/>
        </w:rPr>
        <w:t>. Na przedmiot zamówienia Wykonawca udzieli 12 miesięcznej gwarancji.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bookmarkStart w:id="0" w:name="__DdeLink__558_1525795647"/>
      <w:r>
        <w:rPr>
          <w:sz w:val="22"/>
          <w:szCs w:val="22"/>
        </w:rPr>
        <w:t>§3</w:t>
      </w:r>
      <w:bookmarkEnd w:id="0"/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 Zamawiający zapłaci Wykonawcy: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- za komorę grobową pojedynczą</w:t>
        <w:tab/>
        <w:t xml:space="preserve">            - ……. .……. zł netto,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- za </w:t>
      </w:r>
      <w:r>
        <w:rPr>
          <w:bCs/>
          <w:sz w:val="22"/>
          <w:szCs w:val="22"/>
        </w:rPr>
        <w:t>k</w:t>
      </w:r>
      <w:r>
        <w:rPr>
          <w:sz w:val="22"/>
          <w:szCs w:val="22"/>
        </w:rPr>
        <w:t>omorę grobową podwójną (piętrową)</w:t>
        <w:tab/>
        <w:t xml:space="preserve">- ……….. …..zł netto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Wynagrodzenie za całość zamówienia wynosi :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 xml:space="preserve">netto……………………………………. zł 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VAT …………………….……………... zł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brutto ………………………………….. zł</w:t>
      </w:r>
    </w:p>
    <w:p>
      <w:pPr>
        <w:pStyle w:val="Normal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słownie: 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>1.Wykonawca płaci Zamawiającemu kary umowne :</w:t>
      </w:r>
    </w:p>
    <w:p>
      <w:pPr>
        <w:pStyle w:val="Normal"/>
        <w:widowControl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niezależnych od Zamawiającego w wysokości 2% wartości zamówienia,</w:t>
      </w:r>
    </w:p>
    <w:p>
      <w:pPr>
        <w:pStyle w:val="Normal"/>
        <w:widowControl/>
        <w:numPr>
          <w:ilvl w:val="0"/>
          <w:numId w:val="4"/>
        </w:numPr>
        <w:jc w:val="both"/>
        <w:rPr>
          <w:color w:val="00FF00"/>
          <w:sz w:val="22"/>
          <w:szCs w:val="22"/>
        </w:rPr>
      </w:pPr>
      <w:r>
        <w:rPr>
          <w:sz w:val="22"/>
          <w:szCs w:val="22"/>
        </w:rPr>
        <w:t>za zwłokę w wykonaniu przedmiotu umowy  5% wartości danego zamówienia za każdy dzień zwłoki.</w:t>
      </w:r>
    </w:p>
    <w:p>
      <w:pPr>
        <w:pStyle w:val="Tretekst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Zapłata będzie dokonywana oddzielnie za każdą dostawę częściową, po dostarczeniu przez Wykonawcę stosownej faktury VAT. Termin płatności 14 dni od daty złożenia faktury.</w:t>
      </w:r>
    </w:p>
    <w:p>
      <w:pPr>
        <w:pStyle w:val="Tretekst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wystawi fakturę VAT po bezusterkowym odbiorze każdej dostawy częściowej potwierdzonym przez osobę odpowiedzialną ze strony Zamawiającego.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61"/>
        <w:widowControl/>
        <w:tabs>
          <w:tab w:val="clear" w:pos="708"/>
          <w:tab w:val="left" w:pos="182" w:leader="none"/>
        </w:tabs>
        <w:spacing w:lineRule="exact" w:line="278" w:before="91" w:after="0"/>
        <w:ind w:right="10" w:hanging="0"/>
        <w:jc w:val="both"/>
        <w:rPr>
          <w:rStyle w:val="FontStyle26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sprawach nieregulowanych niniejszą umową mają zastosowanie przepisy Kodeksu Cywilnego oraz ustawy Prawo zamówień publicznych. Ewentualne spory rozstrzygane będą przez sąd</w:t>
      </w:r>
      <w:r>
        <w:rPr>
          <w:rStyle w:val="FontStyle26"/>
          <w:color w:val="FF0000"/>
          <w:sz w:val="22"/>
          <w:szCs w:val="22"/>
        </w:rPr>
        <w:t xml:space="preserve"> </w:t>
      </w:r>
      <w:r>
        <w:rPr>
          <w:rStyle w:val="FontStyle26"/>
          <w:sz w:val="22"/>
          <w:szCs w:val="22"/>
        </w:rPr>
        <w:t>właściwy dla siedziby Zamawiającego.</w:t>
      </w:r>
    </w:p>
    <w:p>
      <w:pPr>
        <w:pStyle w:val="Style61"/>
        <w:widowControl/>
        <w:tabs>
          <w:tab w:val="clear" w:pos="708"/>
          <w:tab w:val="left" w:pos="182" w:leader="none"/>
        </w:tabs>
        <w:spacing w:lineRule="exact" w:line="278" w:before="91" w:after="0"/>
        <w:ind w:right="10" w:hanging="0"/>
        <w:jc w:val="both"/>
        <w:rPr>
          <w:rStyle w:val="FontStyle26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/>
      </w:pPr>
      <w:r>
        <w:rPr>
          <w:sz w:val="22"/>
          <w:szCs w:val="22"/>
        </w:rPr>
        <w:t>Integralną częścią umowy jest  formularz ofertowy, na podstawie którego dokonano wyboru Wykonawcy -  załącznik nr 1.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Niniejszą  umowę sporządzono w dwóch jednobrzmiących egzemplarzach, po jednym dla każdej ze stron.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numPr>
          <w:ilvl w:val="0"/>
          <w:numId w:val="2"/>
        </w:numPr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  <w:tab/>
        <w:tab/>
        <w:tab/>
        <w:tab/>
        <w:tab/>
        <w:t xml:space="preserve">                           ZAMAWIAJĄCY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4014470" cy="444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014000" cy="252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5pt" to="316pt,-0.35pt" ID="Obraz1" stroked="t" style="position:absolute;flip:y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df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be0df9"/>
    <w:rPr>
      <w:sz w:val="28"/>
      <w:szCs w:val="24"/>
      <w:lang w:eastAsia="ar-SA"/>
    </w:rPr>
  </w:style>
  <w:style w:type="character" w:styleId="TytuZnak" w:customStyle="1">
    <w:name w:val="Tytuł Znak"/>
    <w:basedOn w:val="DefaultParagraphFont"/>
    <w:link w:val="Tytu"/>
    <w:uiPriority w:val="99"/>
    <w:qFormat/>
    <w:rsid w:val="00be0df9"/>
    <w:rPr>
      <w:b/>
      <w:bCs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be0df9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be0df9"/>
    <w:rPr>
      <w:sz w:val="16"/>
      <w:szCs w:val="16"/>
    </w:rPr>
  </w:style>
  <w:style w:type="character" w:styleId="FontStyle26" w:customStyle="1">
    <w:name w:val="Font Style26"/>
    <w:basedOn w:val="DefaultParagraphFont"/>
    <w:uiPriority w:val="99"/>
    <w:qFormat/>
    <w:rsid w:val="00be0df9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99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"/>
    <w:link w:val="TytuZnak"/>
    <w:uiPriority w:val="99"/>
    <w:qFormat/>
    <w:rsid w:val="00be0df9"/>
    <w:pPr>
      <w:widowControl/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be0df9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be0df9"/>
    <w:pPr>
      <w:spacing w:before="0" w:after="120"/>
    </w:pPr>
    <w:rPr>
      <w:sz w:val="16"/>
      <w:szCs w:val="16"/>
    </w:rPr>
  </w:style>
  <w:style w:type="paragraph" w:styleId="Style61" w:customStyle="1">
    <w:name w:val="Style6"/>
    <w:basedOn w:val="Normal"/>
    <w:uiPriority w:val="99"/>
    <w:qFormat/>
    <w:rsid w:val="00be0df9"/>
    <w:pPr/>
    <w:rPr>
      <w:rFonts w:ascii="Arial Unicode MS" w:hAnsi="Arial Unicode MS" w:eastAsia="Arial Unicode MS" w:cs="Arial Unicode MS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2</Pages>
  <Words>575</Words>
  <Characters>3770</Characters>
  <CharactersWithSpaces>4467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2020-10-28T13:26:46Z</dcterms:created>
  <dc:creator/>
  <dc:description/>
  <dc:language>pl-PL</dc:language>
  <cp:lastModifiedBy/>
  <dcterms:modified xsi:type="dcterms:W3CDTF">2020-10-28T13:26:47Z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